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Lead Generation Specialist</w:t>
      </w:r>
    </w:p>
    <w:p>
      <w:r>
        <w:t>Lead capture · Conversion paths · Measurement and follow-up workflows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Web and marketing practitioner connecting service-page content, enquiry paths, and measurement. Own-site work includes executive advisory pages, contextual calls to action, and WhatsApp click-event tracking. Business development experience at Nabidios and ecommerce systems work at Nello provide context for the steps between initial interest and a useful commercial conversation.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Nello</w:t>
      </w:r>
    </w:p>
    <w:p>
      <w:r>
        <w:t>Worked across Shopify and Webflow storefronts, subscription operations, analytics infrastructure, and Klaviyo email marketing. Connected the customer-facing website with the systems supporting recurring purchases and lifecycle communication.</w:t>
      </w:r>
    </w:p>
    <w:p>
      <w:pPr>
        <w:pStyle w:val="Heading2"/>
      </w:pPr>
      <w:r>
        <w:t>Rebrand BM</w:t>
      </w:r>
    </w:p>
    <w:p>
      <w:r>
        <w:t>Served as CTO and Marketing Lead, connecting enterprise marketing objectives with technical delivery. Work included Honda Atlas Cars digital showrooms and nationwide kiosk activations.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https://omermuneer.com/cv/lead-generation-specialist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Lead Generation Specialist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